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5A" w:rsidRDefault="0042345A" w:rsidP="0042345A">
      <w:pPr>
        <w:autoSpaceDE w:val="0"/>
        <w:ind w:right="-6" w:firstLine="72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основу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</w:rPr>
        <w:t>члана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 6</w:t>
      </w:r>
      <w:proofErr w:type="gram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5. </w:t>
      </w:r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6. </w:t>
      </w:r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и 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члана</w:t>
      </w:r>
      <w:proofErr w:type="spellEnd"/>
      <w:proofErr w:type="gram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  7a.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Закона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порезима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имовину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("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Сл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РС",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бр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. 26/01, 42/02-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Одлука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СУС, 80/02, 80/02-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др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закон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, 135/04, 61/07, 5/09, 101/10, 24/11, 78/11,  57/12-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одлука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УС, 47/13 , 68/14-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др.закон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, 95/18 ,  99/18-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одлука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УС  РС , 86/19, 144/20 , 118/21,138/22 и 92/23)  и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члана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65. </w:t>
      </w:r>
      <w:proofErr w:type="spellStart"/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</w:rPr>
        <w:t>тачка</w:t>
      </w:r>
      <w:proofErr w:type="spellEnd"/>
      <w:proofErr w:type="gram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26.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Прибој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("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лист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Прибој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", бр.1/19),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Општинско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</w:rPr>
        <w:t>веће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општине</w:t>
      </w:r>
      <w:proofErr w:type="spellEnd"/>
      <w:proofErr w:type="gram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Прибој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27.11.2024. </w:t>
      </w:r>
      <w:proofErr w:type="spellStart"/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телефонским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путем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донело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42345A" w:rsidRDefault="0042345A" w:rsidP="0042345A">
      <w:pPr>
        <w:autoSpaceDE w:val="0"/>
        <w:spacing w:before="120" w:after="240"/>
        <w:ind w:right="-6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ОДЛУКУ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br/>
        <w:t>О УТВРЂИВАЊУ ПРОСЕЧНИХ ЦЕНА КВАДРАТНОГ МЕТРА НЕПОКРЕТНОСТИ ЗА УТВРЂИВАЊЕ ПОРЕЗА НА ИМОВИНУ ЗА 2025.</w:t>
      </w:r>
      <w:proofErr w:type="gramEnd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ГОДИНУ НА </w:t>
      </w:r>
      <w:proofErr w:type="gramStart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ТЕРИТОРИЈИ  ОПШТИНЕ</w:t>
      </w:r>
      <w:proofErr w:type="gramEnd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ПРИБОЈ</w:t>
      </w:r>
    </w:p>
    <w:p w:rsidR="0042345A" w:rsidRDefault="0042345A" w:rsidP="0042345A">
      <w:pPr>
        <w:autoSpaceDE w:val="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1.</w:t>
      </w:r>
      <w:proofErr w:type="gramEnd"/>
    </w:p>
    <w:p w:rsidR="0042345A" w:rsidRDefault="0042345A" w:rsidP="0042345A">
      <w:pPr>
        <w:autoSpaceDE w:val="0"/>
        <w:ind w:firstLine="72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</w:rPr>
        <w:t>Овом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Одлуком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утврђује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просечна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цена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квадратног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метра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одговарајућих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непокретности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утврђивање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пореза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имовину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2025.</w:t>
      </w:r>
      <w:proofErr w:type="gram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Прибој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:rsidR="0042345A" w:rsidRDefault="0042345A" w:rsidP="0042345A">
      <w:pPr>
        <w:autoSpaceDE w:val="0"/>
        <w:spacing w:before="120" w:after="240"/>
        <w:ind w:right="-6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2.</w:t>
      </w:r>
      <w:proofErr w:type="gramEnd"/>
    </w:p>
    <w:p w:rsidR="0042345A" w:rsidRDefault="0042345A" w:rsidP="0042345A">
      <w:pPr>
        <w:autoSpaceDE w:val="0"/>
        <w:spacing w:before="120" w:after="240"/>
        <w:ind w:right="-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</w:rPr>
        <w:t>Просечне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цене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квадратног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метра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непокретности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утврђивање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пореза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имовину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2025.</w:t>
      </w:r>
      <w:proofErr w:type="gram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Прибој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износе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9"/>
        <w:gridCol w:w="2642"/>
        <w:gridCol w:w="1656"/>
        <w:gridCol w:w="1577"/>
        <w:gridCol w:w="1586"/>
        <w:gridCol w:w="1647"/>
      </w:tblGrid>
      <w:tr w:rsidR="0042345A" w:rsidTr="0042345A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</w:rPr>
              <w:t>Ред</w:t>
            </w:r>
            <w:proofErr w:type="spellEnd"/>
            <w:r>
              <w:rPr>
                <w:rFonts w:cs="Times New Roman"/>
                <w:i/>
              </w:rPr>
              <w:t>.</w:t>
            </w:r>
          </w:p>
          <w:p w:rsidR="0042345A" w:rsidRDefault="0042345A">
            <w:pPr>
              <w:pStyle w:val="a"/>
              <w:spacing w:line="276" w:lineRule="auto"/>
              <w:rPr>
                <w:rFonts w:cs="Times New Roman"/>
                <w:i/>
              </w:rPr>
            </w:pPr>
            <w:proofErr w:type="spellStart"/>
            <w:proofErr w:type="gramStart"/>
            <w:r>
              <w:rPr>
                <w:rFonts w:cs="Times New Roman"/>
                <w:i/>
              </w:rPr>
              <w:t>бр</w:t>
            </w:r>
            <w:proofErr w:type="spellEnd"/>
            <w:proofErr w:type="gram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</w:rPr>
              <w:t>Врста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непокретности</w:t>
            </w:r>
            <w:proofErr w:type="spellEnd"/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I </w:t>
            </w:r>
            <w:proofErr w:type="spellStart"/>
            <w:r>
              <w:rPr>
                <w:rFonts w:cs="Times New Roman"/>
                <w:i/>
              </w:rPr>
              <w:t>зона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II </w:t>
            </w:r>
            <w:proofErr w:type="spellStart"/>
            <w:r>
              <w:rPr>
                <w:rFonts w:cs="Times New Roman"/>
                <w:i/>
              </w:rPr>
              <w:t>зона</w:t>
            </w:r>
            <w:proofErr w:type="spellEnd"/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III </w:t>
            </w:r>
            <w:proofErr w:type="spellStart"/>
            <w:r>
              <w:rPr>
                <w:rFonts w:cs="Times New Roman"/>
                <w:i/>
              </w:rPr>
              <w:t>зона</w:t>
            </w:r>
            <w:proofErr w:type="spellEnd"/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IV </w:t>
            </w:r>
            <w:proofErr w:type="spellStart"/>
            <w:r>
              <w:rPr>
                <w:rFonts w:cs="Times New Roman"/>
                <w:i/>
              </w:rPr>
              <w:t>зона</w:t>
            </w:r>
            <w:proofErr w:type="spellEnd"/>
          </w:p>
        </w:tc>
      </w:tr>
      <w:tr w:rsidR="0042345A" w:rsidTr="0042345A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bCs/>
                <w:i/>
                <w:color w:val="000000"/>
              </w:rPr>
            </w:pPr>
            <w:r>
              <w:rPr>
                <w:rFonts w:cs="Times New Roman"/>
                <w:i/>
              </w:rPr>
              <w:t>1.</w:t>
            </w:r>
          </w:p>
        </w:tc>
        <w:tc>
          <w:tcPr>
            <w:tcW w:w="2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autoSpaceDE w:val="0"/>
              <w:snapToGrid w:val="0"/>
              <w:spacing w:before="120" w:after="240"/>
              <w:ind w:right="-6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грађевинско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земљиштe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2.160,00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proofErr w:type="gramStart"/>
            <w:r>
              <w:rPr>
                <w:rFonts w:cs="Times New Roman"/>
                <w:i/>
              </w:rPr>
              <w:t xml:space="preserve">1.728,00 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proofErr w:type="gram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1.440,00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-</w:t>
            </w:r>
          </w:p>
        </w:tc>
      </w:tr>
      <w:tr w:rsidR="0042345A" w:rsidTr="0042345A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bCs/>
                <w:i/>
                <w:color w:val="000000"/>
              </w:rPr>
            </w:pPr>
            <w:r>
              <w:rPr>
                <w:rFonts w:cs="Times New Roman"/>
                <w:i/>
              </w:rPr>
              <w:t>2.</w:t>
            </w:r>
          </w:p>
        </w:tc>
        <w:tc>
          <w:tcPr>
            <w:tcW w:w="2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autoSpaceDE w:val="0"/>
              <w:snapToGrid w:val="0"/>
              <w:spacing w:before="120" w:after="240"/>
              <w:ind w:right="-6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пољопривредно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земљиште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proofErr w:type="gramStart"/>
            <w:r>
              <w:rPr>
                <w:rFonts w:cs="Times New Roman"/>
                <w:i/>
              </w:rPr>
              <w:t>72 ,00</w:t>
            </w:r>
            <w:proofErr w:type="gram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43</w:t>
            </w:r>
            <w:proofErr w:type="gramStart"/>
            <w:r>
              <w:rPr>
                <w:rFonts w:cs="Times New Roman"/>
                <w:i/>
              </w:rPr>
              <w:t>,20</w:t>
            </w:r>
            <w:proofErr w:type="gram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28</w:t>
            </w:r>
            <w:proofErr w:type="gramStart"/>
            <w:r>
              <w:rPr>
                <w:rFonts w:cs="Times New Roman"/>
                <w:i/>
              </w:rPr>
              <w:t>,80</w:t>
            </w:r>
            <w:proofErr w:type="gram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14</w:t>
            </w:r>
            <w:proofErr w:type="gramStart"/>
            <w:r>
              <w:rPr>
                <w:rFonts w:cs="Times New Roman"/>
                <w:i/>
              </w:rPr>
              <w:t>,40</w:t>
            </w:r>
            <w:proofErr w:type="gram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</w:tr>
      <w:tr w:rsidR="0042345A" w:rsidTr="0042345A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bCs/>
                <w:i/>
                <w:color w:val="000000"/>
              </w:rPr>
            </w:pPr>
            <w:r>
              <w:rPr>
                <w:rFonts w:cs="Times New Roman"/>
                <w:i/>
              </w:rPr>
              <w:t>3.</w:t>
            </w:r>
          </w:p>
        </w:tc>
        <w:tc>
          <w:tcPr>
            <w:tcW w:w="2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autoSpaceDE w:val="0"/>
              <w:snapToGrid w:val="0"/>
              <w:spacing w:before="120" w:after="240"/>
              <w:ind w:right="-6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шумско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земљиштe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57</w:t>
            </w:r>
            <w:proofErr w:type="gramStart"/>
            <w:r>
              <w:rPr>
                <w:rFonts w:cs="Times New Roman"/>
                <w:i/>
              </w:rPr>
              <w:t>,60</w:t>
            </w:r>
            <w:proofErr w:type="gram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28</w:t>
            </w:r>
            <w:proofErr w:type="gramStart"/>
            <w:r>
              <w:rPr>
                <w:rFonts w:cs="Times New Roman"/>
                <w:i/>
              </w:rPr>
              <w:t>,80</w:t>
            </w:r>
            <w:proofErr w:type="gram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14</w:t>
            </w:r>
            <w:proofErr w:type="gramStart"/>
            <w:r>
              <w:rPr>
                <w:rFonts w:cs="Times New Roman"/>
                <w:i/>
              </w:rPr>
              <w:t>,40</w:t>
            </w:r>
            <w:proofErr w:type="gram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11</w:t>
            </w:r>
            <w:proofErr w:type="gramStart"/>
            <w:r>
              <w:rPr>
                <w:rFonts w:cs="Times New Roman"/>
                <w:i/>
              </w:rPr>
              <w:t>,52</w:t>
            </w:r>
            <w:proofErr w:type="gram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</w:tr>
      <w:tr w:rsidR="0042345A" w:rsidTr="0042345A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bCs/>
                <w:i/>
                <w:color w:val="000000"/>
              </w:rPr>
            </w:pPr>
            <w:r>
              <w:rPr>
                <w:rFonts w:cs="Times New Roman"/>
                <w:i/>
              </w:rPr>
              <w:t>4.</w:t>
            </w:r>
          </w:p>
        </w:tc>
        <w:tc>
          <w:tcPr>
            <w:tcW w:w="2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autoSpaceDE w:val="0"/>
              <w:snapToGrid w:val="0"/>
              <w:spacing w:before="120" w:after="240"/>
              <w:ind w:right="-6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земљиште</w:t>
            </w:r>
            <w:proofErr w:type="spellEnd"/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43</w:t>
            </w:r>
            <w:proofErr w:type="gramStart"/>
            <w:r>
              <w:rPr>
                <w:rFonts w:cs="Times New Roman"/>
                <w:i/>
              </w:rPr>
              <w:t>,20</w:t>
            </w:r>
            <w:proofErr w:type="gramEnd"/>
            <w:r>
              <w:rPr>
                <w:rFonts w:cs="Times New Roman"/>
                <w:i/>
              </w:rPr>
              <w:t xml:space="preserve"> 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25</w:t>
            </w:r>
            <w:proofErr w:type="gramStart"/>
            <w:r>
              <w:rPr>
                <w:rFonts w:cs="Times New Roman"/>
                <w:i/>
              </w:rPr>
              <w:t>,92</w:t>
            </w:r>
            <w:proofErr w:type="gramEnd"/>
            <w:r>
              <w:rPr>
                <w:rFonts w:cs="Times New Roman"/>
                <w:i/>
              </w:rPr>
              <w:t xml:space="preserve"> 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17</w:t>
            </w:r>
            <w:proofErr w:type="gramStart"/>
            <w:r>
              <w:rPr>
                <w:rFonts w:cs="Times New Roman"/>
                <w:i/>
              </w:rPr>
              <w:t>,28</w:t>
            </w:r>
            <w:proofErr w:type="gram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8</w:t>
            </w:r>
            <w:proofErr w:type="gramStart"/>
            <w:r>
              <w:rPr>
                <w:rFonts w:cs="Times New Roman"/>
                <w:i/>
              </w:rPr>
              <w:t>,64</w:t>
            </w:r>
            <w:proofErr w:type="gram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</w:tr>
      <w:tr w:rsidR="0042345A" w:rsidTr="0042345A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bCs/>
                <w:i/>
                <w:color w:val="000000"/>
              </w:rPr>
            </w:pPr>
            <w:r>
              <w:rPr>
                <w:rFonts w:cs="Times New Roman"/>
                <w:i/>
              </w:rPr>
              <w:t>5.</w:t>
            </w:r>
          </w:p>
        </w:tc>
        <w:tc>
          <w:tcPr>
            <w:tcW w:w="2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autoSpaceDE w:val="0"/>
              <w:snapToGrid w:val="0"/>
              <w:spacing w:before="120" w:after="240"/>
              <w:ind w:right="-6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стан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59.040,00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57.600,00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56.160,00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50.400,00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</w:tr>
      <w:tr w:rsidR="0042345A" w:rsidTr="0042345A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bCs/>
                <w:i/>
                <w:color w:val="000000"/>
              </w:rPr>
            </w:pPr>
            <w:r>
              <w:rPr>
                <w:rFonts w:cs="Times New Roman"/>
                <w:i/>
              </w:rPr>
              <w:t>6.</w:t>
            </w:r>
          </w:p>
        </w:tc>
        <w:tc>
          <w:tcPr>
            <w:tcW w:w="2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autoSpaceDE w:val="0"/>
              <w:snapToGrid w:val="0"/>
              <w:spacing w:before="120" w:after="240"/>
              <w:ind w:right="-6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кућа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становање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36.000,00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34.560,00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33.120,00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27.360,00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</w:tr>
      <w:tr w:rsidR="0042345A" w:rsidTr="0042345A">
        <w:trPr>
          <w:trHeight w:val="1630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bCs/>
                <w:i/>
                <w:color w:val="000000"/>
              </w:rPr>
            </w:pPr>
            <w:r>
              <w:rPr>
                <w:rFonts w:cs="Times New Roman"/>
                <w:i/>
              </w:rPr>
              <w:lastRenderedPageBreak/>
              <w:t>7.</w:t>
            </w:r>
          </w:p>
        </w:tc>
        <w:tc>
          <w:tcPr>
            <w:tcW w:w="2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autoSpaceDE w:val="0"/>
              <w:snapToGrid w:val="0"/>
              <w:spacing w:before="120" w:after="240"/>
              <w:ind w:right="-6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пословне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зграде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надземни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подземни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објекати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служе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делатности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72.000,00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64.800,00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57.600,00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50.400,00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</w:tr>
      <w:tr w:rsidR="0042345A" w:rsidTr="0042345A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bCs/>
                <w:i/>
                <w:color w:val="000000"/>
              </w:rPr>
            </w:pPr>
            <w:r>
              <w:rPr>
                <w:rFonts w:cs="Times New Roman"/>
                <w:i/>
              </w:rPr>
              <w:t>8.</w:t>
            </w:r>
          </w:p>
        </w:tc>
        <w:tc>
          <w:tcPr>
            <w:tcW w:w="2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autoSpaceDE w:val="0"/>
              <w:snapToGrid w:val="0"/>
              <w:spacing w:before="120" w:after="240"/>
              <w:ind w:right="-6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гараже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помоћни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објекти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14.400,00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11.520,00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8.640,00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45A" w:rsidRDefault="0042345A">
            <w:pPr>
              <w:pStyle w:val="a"/>
              <w:snapToGrid w:val="0"/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4.320,00 </w:t>
            </w:r>
            <w:proofErr w:type="spellStart"/>
            <w:r>
              <w:rPr>
                <w:rFonts w:cs="Times New Roman"/>
                <w:i/>
              </w:rPr>
              <w:t>дин</w:t>
            </w:r>
            <w:proofErr w:type="spellEnd"/>
            <w:r>
              <w:rPr>
                <w:rFonts w:cs="Times New Roman"/>
                <w:i/>
              </w:rPr>
              <w:t>.</w:t>
            </w:r>
          </w:p>
        </w:tc>
      </w:tr>
    </w:tbl>
    <w:p w:rsidR="0042345A" w:rsidRDefault="0042345A" w:rsidP="0042345A">
      <w:pPr>
        <w:autoSpaceDE w:val="0"/>
        <w:spacing w:before="120" w:after="240"/>
        <w:ind w:right="-6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42345A" w:rsidRDefault="0042345A" w:rsidP="0042345A">
      <w:pPr>
        <w:autoSpaceDE w:val="0"/>
        <w:spacing w:before="120" w:after="240"/>
        <w:ind w:right="-6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3.</w:t>
      </w:r>
      <w:proofErr w:type="gramEnd"/>
    </w:p>
    <w:p w:rsidR="0042345A" w:rsidRDefault="0042345A" w:rsidP="0042345A">
      <w:pPr>
        <w:autoSpaceDE w:val="0"/>
        <w:spacing w:before="120" w:after="240"/>
        <w:ind w:right="-6"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Ову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Одлуку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објавити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листу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Прибој</w:t>
      </w:r>
      <w:proofErr w:type="spellEnd"/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</w:rPr>
        <w:t>“ и</w:t>
      </w:r>
      <w:proofErr w:type="gram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интернет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страни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hyperlink r:id="rId4" w:history="1">
        <w:r>
          <w:rPr>
            <w:rStyle w:val="Hyperlink"/>
            <w:i/>
            <w:sz w:val="24"/>
            <w:szCs w:val="24"/>
          </w:rPr>
          <w:t>www.</w:t>
        </w:r>
      </w:hyperlink>
      <w:hyperlink r:id="rId5" w:history="1">
        <w:proofErr w:type="gramStart"/>
        <w:r>
          <w:rPr>
            <w:rStyle w:val="Hyperlink"/>
            <w:i/>
            <w:sz w:val="24"/>
            <w:szCs w:val="24"/>
          </w:rPr>
          <w:t>priboj.rs</w:t>
        </w:r>
      </w:hyperlink>
      <w:r>
        <w:rPr>
          <w:rFonts w:ascii="Times New Roman" w:hAnsi="Times New Roman"/>
          <w:bCs/>
          <w:i/>
          <w:color w:val="000000"/>
          <w:sz w:val="24"/>
          <w:szCs w:val="24"/>
        </w:rPr>
        <w:t>.</w:t>
      </w:r>
      <w:proofErr w:type="gramEnd"/>
    </w:p>
    <w:p w:rsidR="0042345A" w:rsidRDefault="0042345A" w:rsidP="0042345A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4.</w:t>
      </w:r>
      <w:proofErr w:type="gramEnd"/>
    </w:p>
    <w:p w:rsidR="0042345A" w:rsidRDefault="0042345A" w:rsidP="0042345A">
      <w:pPr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Одлука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</w:rPr>
        <w:t>ступа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снагу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осмог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дана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од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дана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објављивања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i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листу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Прибој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”, а </w:t>
      </w:r>
      <w:proofErr w:type="spellStart"/>
      <w:r>
        <w:rPr>
          <w:rFonts w:ascii="Times New Roman" w:hAnsi="Times New Roman"/>
          <w:i/>
          <w:sz w:val="24"/>
          <w:szCs w:val="24"/>
        </w:rPr>
        <w:t>примењује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од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јануара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2025.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>.</w:t>
      </w:r>
    </w:p>
    <w:p w:rsidR="0042345A" w:rsidRDefault="0042345A" w:rsidP="0042345A">
      <w:pPr>
        <w:rPr>
          <w:rFonts w:ascii="Times New Roman" w:hAnsi="Times New Roman"/>
          <w:i/>
          <w:sz w:val="24"/>
          <w:szCs w:val="24"/>
        </w:rPr>
      </w:pPr>
    </w:p>
    <w:p w:rsidR="0042345A" w:rsidRDefault="0042345A" w:rsidP="0042345A">
      <w:pPr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i/>
          <w:color w:val="000000"/>
          <w:sz w:val="24"/>
          <w:szCs w:val="24"/>
          <w:lang w:val="sr-Cyrl-CS"/>
        </w:rPr>
        <w:t xml:space="preserve">ОПШТИНСКО  ВЕЋЕ 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ОПШТИНЕ ПРИБОЈ</w:t>
      </w:r>
    </w:p>
    <w:p w:rsidR="0042345A" w:rsidRDefault="0042345A" w:rsidP="0042345A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02 </w:t>
      </w:r>
      <w:r>
        <w:rPr>
          <w:rFonts w:ascii="Times New Roman" w:hAnsi="Times New Roman"/>
          <w:b/>
          <w:i/>
          <w:sz w:val="24"/>
          <w:szCs w:val="24"/>
        </w:rPr>
        <w:t>б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>рој</w:t>
      </w:r>
      <w:proofErr w:type="gramStart"/>
      <w:r>
        <w:rPr>
          <w:rFonts w:ascii="Times New Roman" w:hAnsi="Times New Roman"/>
          <w:b/>
          <w:i/>
          <w:sz w:val="24"/>
          <w:szCs w:val="24"/>
          <w:lang w:val="sr-Cyrl-CS"/>
        </w:rPr>
        <w:t>:436</w:t>
      </w:r>
      <w:proofErr w:type="gramEnd"/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-2 од </w:t>
      </w:r>
      <w:r>
        <w:rPr>
          <w:rFonts w:ascii="Times New Roman" w:hAnsi="Times New Roman"/>
          <w:b/>
          <w:i/>
          <w:sz w:val="24"/>
          <w:szCs w:val="24"/>
        </w:rPr>
        <w:t xml:space="preserve">27.11.2024. 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>го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дине</w:t>
      </w:r>
      <w:proofErr w:type="spellEnd"/>
    </w:p>
    <w:p w:rsidR="0042345A" w:rsidRDefault="0042345A" w:rsidP="0042345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345A" w:rsidRDefault="0042345A" w:rsidP="0042345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                                                                                                        ПРЕДСЕДНИК ОПШТИНЕ</w:t>
      </w:r>
    </w:p>
    <w:p w:rsidR="0042345A" w:rsidRDefault="0042345A" w:rsidP="0042345A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                                                                                                                 </w:t>
      </w:r>
    </w:p>
    <w:p w:rsidR="0042345A" w:rsidRDefault="0042345A" w:rsidP="0042345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Лазар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Рвовић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дипл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правник</w:t>
      </w:r>
      <w:proofErr w:type="spellEnd"/>
      <w:proofErr w:type="gramEnd"/>
    </w:p>
    <w:p w:rsidR="0042345A" w:rsidRDefault="0042345A" w:rsidP="0042345A">
      <w:pPr>
        <w:pStyle w:val="Default"/>
        <w:tabs>
          <w:tab w:val="left" w:pos="3619"/>
        </w:tabs>
        <w:rPr>
          <w:b/>
          <w:i/>
        </w:rPr>
      </w:pPr>
      <w:r>
        <w:rPr>
          <w:b/>
          <w:i/>
        </w:rPr>
        <w:tab/>
      </w:r>
    </w:p>
    <w:p w:rsidR="0042345A" w:rsidRDefault="0042345A" w:rsidP="0042345A">
      <w:pPr>
        <w:rPr>
          <w:rFonts w:ascii="Times New Roman" w:hAnsi="Times New Roman"/>
          <w:i/>
          <w:sz w:val="24"/>
          <w:szCs w:val="24"/>
        </w:rPr>
      </w:pPr>
    </w:p>
    <w:p w:rsidR="0042345A" w:rsidRDefault="0042345A" w:rsidP="0042345A">
      <w:pPr>
        <w:rPr>
          <w:rFonts w:ascii="Times New Roman" w:hAnsi="Times New Roman"/>
          <w:sz w:val="24"/>
          <w:szCs w:val="24"/>
        </w:rPr>
      </w:pPr>
    </w:p>
    <w:p w:rsidR="00123F74" w:rsidRDefault="0042345A"/>
    <w:sectPr w:rsidR="00123F74" w:rsidSect="00667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42345A"/>
    <w:rsid w:val="0042345A"/>
    <w:rsid w:val="006675BF"/>
    <w:rsid w:val="00A264D4"/>
    <w:rsid w:val="00EA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5A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2345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42345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basedOn w:val="Normal"/>
    <w:rsid w:val="0042345A"/>
    <w:pPr>
      <w:widowControl w:val="0"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hi-IN" w:bidi="hi-IN"/>
    </w:rPr>
  </w:style>
  <w:style w:type="paragraph" w:customStyle="1" w:styleId="a">
    <w:name w:val="Садржај табеле"/>
    <w:basedOn w:val="Normal"/>
    <w:rsid w:val="0042345A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boj.rs/" TargetMode="External"/><Relationship Id="rId4" Type="http://schemas.openxmlformats.org/officeDocument/2006/relationships/hyperlink" Target="http://www.priboj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2024-11-29T09:58:00Z</dcterms:created>
  <dcterms:modified xsi:type="dcterms:W3CDTF">2024-11-29T09:59:00Z</dcterms:modified>
</cp:coreProperties>
</file>